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2EB30C3F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7885" w:rsidRPr="00B47885">
        <w:rPr>
          <w:rFonts w:ascii="Times New Roman" w:hAnsi="Times New Roman"/>
          <w:sz w:val="28"/>
          <w:szCs w:val="28"/>
        </w:rPr>
        <w:t>Послуги музеїв та послуги зі збереження історичних пам’яток і будівель ДК 021:2015: 92520000-2 (Послуги з розробки та затвердження документації на об’єкти культурної спадщини)</w:t>
      </w:r>
    </w:p>
    <w:p w14:paraId="73AA0AC5" w14:textId="3B5464BC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B47885" w:rsidRPr="00B47885">
        <w:rPr>
          <w:rFonts w:ascii="Times New Roman" w:hAnsi="Times New Roman"/>
          <w:sz w:val="28"/>
          <w:szCs w:val="28"/>
        </w:rPr>
        <w:t>UA-2023-08-23-012082-a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ідповідно до розрахунку кошториса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6F3809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47885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FA45-C88C-48DE-BC85-26614DED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2023-08-29T07:03:00Z</dcterms:created>
  <dcterms:modified xsi:type="dcterms:W3CDTF">2023-08-29T07:03:00Z</dcterms:modified>
</cp:coreProperties>
</file>